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F25" w:rsidRDefault="003B3F75">
      <w:pPr>
        <w:pStyle w:val="CRCoverPage"/>
        <w:tabs>
          <w:tab w:val="right" w:pos="9360"/>
        </w:tabs>
        <w:spacing w:after="60" w:line="240" w:lineRule="auto"/>
        <w:jc w:val="both"/>
        <w:rPr>
          <w:rFonts w:eastAsia="宋体" w:cs="Arial"/>
          <w:b/>
          <w:color w:val="FFFFFF"/>
          <w:sz w:val="22"/>
          <w:szCs w:val="22"/>
          <w:lang w:val="en-US" w:eastAsia="zh-CN"/>
        </w:rPr>
      </w:pPr>
      <w:bookmarkStart w:id="0" w:name="OLE_LINK16"/>
      <w:bookmarkStart w:id="1" w:name="OLE_LINK15"/>
      <w:bookmarkStart w:id="2" w:name="OLE_LINK1"/>
      <w:bookmarkStart w:id="3" w:name="OLE_LINK2"/>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101</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2003454</w:t>
      </w:r>
    </w:p>
    <w:p w:rsidR="00336F25" w:rsidRDefault="003B3F75">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May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June 5</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336F25" w:rsidRDefault="00336F25">
      <w:pPr>
        <w:pStyle w:val="CRCoverPage"/>
        <w:tabs>
          <w:tab w:val="right" w:pos="9639"/>
        </w:tabs>
        <w:spacing w:after="60" w:line="240" w:lineRule="auto"/>
        <w:jc w:val="both"/>
        <w:rPr>
          <w:rFonts w:eastAsia="宋体" w:cs="Arial"/>
          <w:b/>
          <w:sz w:val="22"/>
          <w:szCs w:val="22"/>
          <w:lang w:val="sv-SE" w:eastAsia="zh-CN"/>
        </w:rPr>
      </w:pPr>
    </w:p>
    <w:p w:rsidR="00336F25" w:rsidRDefault="003B3F75">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Remaining issues on the wideband operation for NR-U</w:t>
      </w:r>
    </w:p>
    <w:p w:rsidR="00336F25" w:rsidRDefault="003B3F75">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336F25" w:rsidRDefault="003B3F75">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5</w:t>
      </w:r>
    </w:p>
    <w:p w:rsidR="00336F25" w:rsidRDefault="003B3F75">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336F25" w:rsidRDefault="003B3F75">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336F25" w:rsidRDefault="003B3F75">
      <w:pPr>
        <w:snapToGrid w:val="0"/>
        <w:spacing w:beforeLines="50" w:before="120" w:afterLines="50" w:after="120"/>
        <w:jc w:val="both"/>
        <w:rPr>
          <w:lang w:val="en-US" w:eastAsia="zh-CN"/>
        </w:rPr>
      </w:pPr>
      <w:r>
        <w:rPr>
          <w:rFonts w:hint="eastAsia"/>
          <w:lang w:val="en-US" w:eastAsia="zh-CN"/>
        </w:rPr>
        <w:t xml:space="preserve">In the last RAN1 #100bis e-meeting, some remaining issues of wide-band were further discussed. After that, a lot of agreements were reached and then corresponding CRs were approved. For an UL carrier without intra-cell guard bands </w:t>
      </w:r>
      <w:r>
        <w:rPr>
          <w:color w:val="000000"/>
          <w:lang w:eastAsia="ko-KR"/>
        </w:rPr>
        <w:t xml:space="preserve">when the parameter </w:t>
      </w:r>
      <w:r>
        <w:rPr>
          <w:i/>
          <w:iCs/>
          <w:color w:val="000000"/>
          <w:lang w:eastAsia="ko-KR"/>
        </w:rPr>
        <w:t>useInterlacePUCCH-PUCCH</w:t>
      </w:r>
      <w:r>
        <w:rPr>
          <w:color w:val="000000"/>
          <w:lang w:eastAsia="ko-KR"/>
        </w:rPr>
        <w:t xml:space="preserve"> is configured</w:t>
      </w:r>
      <w:r>
        <w:rPr>
          <w:rFonts w:eastAsia="宋体" w:hint="eastAsia"/>
          <w:color w:val="000000"/>
          <w:lang w:val="en-US" w:eastAsia="zh-CN"/>
        </w:rPr>
        <w:t>, there are still some remaining issues to be discussed and solved.</w:t>
      </w:r>
      <w:r>
        <w:rPr>
          <w:rFonts w:hint="eastAsia"/>
          <w:lang w:val="en-US" w:eastAsia="zh-CN"/>
        </w:rPr>
        <w:t xml:space="preserve"> </w:t>
      </w:r>
      <w:r>
        <w:rPr>
          <w:rFonts w:hint="eastAsia"/>
          <w:lang w:eastAsia="zh-CN"/>
        </w:rPr>
        <w:t xml:space="preserve">In this </w:t>
      </w:r>
      <w:r>
        <w:rPr>
          <w:lang w:eastAsia="zh-CN"/>
        </w:rPr>
        <w:t>contribution</w:t>
      </w:r>
      <w:r>
        <w:rPr>
          <w:rFonts w:hint="eastAsia"/>
          <w:lang w:eastAsia="zh-CN"/>
        </w:rPr>
        <w:t xml:space="preserve">, we provide our views on </w:t>
      </w:r>
      <w:r>
        <w:rPr>
          <w:rFonts w:hint="eastAsia"/>
          <w:lang w:val="en-US" w:eastAsia="zh-CN"/>
        </w:rPr>
        <w:t>these remaining issues for wide-band operation</w:t>
      </w:r>
      <w:r>
        <w:rPr>
          <w:rFonts w:hint="eastAsia"/>
          <w:lang w:eastAsia="zh-CN"/>
        </w:rPr>
        <w:t>.</w:t>
      </w:r>
    </w:p>
    <w:p w:rsidR="00336F25" w:rsidRDefault="003B3F75">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336F25" w:rsidRDefault="003B3F75">
      <w:pPr>
        <w:pStyle w:val="Heading2"/>
        <w:numPr>
          <w:ilvl w:val="1"/>
          <w:numId w:val="0"/>
        </w:numPr>
        <w:snapToGrid w:val="0"/>
        <w:spacing w:after="20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Without intra-cell guard band in an UL carrier</w:t>
      </w:r>
    </w:p>
    <w:p w:rsidR="00336F25" w:rsidRDefault="003B3F75">
      <w:pPr>
        <w:snapToGrid w:val="0"/>
        <w:spacing w:line="240" w:lineRule="auto"/>
        <w:jc w:val="both"/>
        <w:rPr>
          <w:rFonts w:eastAsia="宋体"/>
          <w:lang w:val="en-US" w:eastAsia="zh-CN"/>
        </w:rPr>
      </w:pPr>
      <w:r>
        <w:rPr>
          <w:rFonts w:eastAsia="宋体"/>
          <w:lang w:val="en-US" w:eastAsia="zh-CN"/>
        </w:rPr>
        <w:t xml:space="preserve">In the last e-meeting, RAN1 </w:t>
      </w:r>
      <w:r>
        <w:rPr>
          <w:rFonts w:eastAsia="宋体" w:hint="eastAsia"/>
          <w:lang w:val="en-US" w:eastAsia="zh-CN"/>
        </w:rPr>
        <w:t>has discussed an UL carrier without intra-cell guard band and reached the following agreements:</w:t>
      </w:r>
    </w:p>
    <w:p w:rsidR="00336F25" w:rsidRDefault="003B3F75">
      <w:pPr>
        <w:wordWrap w:val="0"/>
        <w:spacing w:after="0" w:line="260" w:lineRule="auto"/>
        <w:rPr>
          <w:rFonts w:eastAsia="Malgun Gothic" w:cs="Times"/>
          <w:lang w:val="en-US" w:eastAsia="ko-KR"/>
        </w:rPr>
      </w:pPr>
      <w:r>
        <w:rPr>
          <w:rFonts w:eastAsia="Malgun Gothic" w:cs="Times"/>
          <w:highlight w:val="green"/>
          <w:lang w:eastAsia="ko-KR"/>
        </w:rPr>
        <w:t>Agreement:</w:t>
      </w:r>
    </w:p>
    <w:p w:rsidR="00336F25" w:rsidRDefault="003B3F75">
      <w:pPr>
        <w:spacing w:after="0" w:line="260" w:lineRule="auto"/>
        <w:rPr>
          <w:rFonts w:eastAsia="Gulim"/>
          <w:color w:val="000000"/>
          <w:lang w:eastAsia="ko-KR"/>
        </w:rPr>
      </w:pPr>
      <w:r>
        <w:rPr>
          <w:color w:val="000000"/>
          <w:lang w:eastAsia="ko-KR"/>
        </w:rPr>
        <w:t xml:space="preserve">For an UL carrier without intra-cell guard bands when the parameter </w:t>
      </w:r>
      <w:r>
        <w:rPr>
          <w:i/>
          <w:iCs/>
          <w:color w:val="000000"/>
          <w:lang w:eastAsia="ko-KR"/>
        </w:rPr>
        <w:t>useInterlacePUCCH-PUCCH</w:t>
      </w:r>
      <w:r>
        <w:rPr>
          <w:color w:val="000000"/>
          <w:lang w:eastAsia="ko-KR"/>
        </w:rPr>
        <w:t xml:space="preserve"> is configured in any of </w:t>
      </w:r>
      <w:r>
        <w:rPr>
          <w:i/>
          <w:iCs/>
          <w:color w:val="000000"/>
          <w:lang w:eastAsia="ko-KR"/>
        </w:rPr>
        <w:t>BWP-UplinkCommon</w:t>
      </w:r>
      <w:r>
        <w:rPr>
          <w:color w:val="000000"/>
          <w:lang w:eastAsia="ko-KR"/>
        </w:rPr>
        <w:t xml:space="preserve"> and </w:t>
      </w:r>
      <w:r>
        <w:rPr>
          <w:i/>
          <w:iCs/>
          <w:color w:val="000000"/>
          <w:lang w:eastAsia="ko-KR"/>
        </w:rPr>
        <w:t>BWP-UplinkDedicated</w:t>
      </w:r>
      <w:r>
        <w:rPr>
          <w:color w:val="000000"/>
          <w:lang w:eastAsia="ko-KR"/>
        </w:rPr>
        <w:t>:</w:t>
      </w:r>
    </w:p>
    <w:p w:rsidR="00336F25" w:rsidRDefault="003B3F75">
      <w:pPr>
        <w:numPr>
          <w:ilvl w:val="0"/>
          <w:numId w:val="10"/>
        </w:numPr>
        <w:spacing w:before="100" w:beforeAutospacing="1" w:after="160" w:line="252" w:lineRule="auto"/>
        <w:contextualSpacing/>
        <w:rPr>
          <w:color w:val="000000"/>
          <w:lang w:eastAsia="ko-KR"/>
        </w:rPr>
      </w:pPr>
      <w:r>
        <w:rPr>
          <w:color w:val="000000"/>
          <w:lang w:eastAsia="ko-KR"/>
        </w:rPr>
        <w:t xml:space="preserve">The UL carrier can be configured with </w:t>
      </w:r>
      <w:r>
        <w:rPr>
          <w:color w:val="000000"/>
          <w:lang w:eastAsia="ko-KR"/>
        </w:rPr>
        <w:fldChar w:fldCharType="begin"/>
      </w:r>
      <w:r>
        <w:rPr>
          <w:color w:val="000000"/>
          <w:lang w:eastAsia="ko-KR"/>
        </w:rPr>
        <w:instrText xml:space="preserve"> QUOTE </w:instrText>
      </w:r>
      <w:r w:rsidR="00664762">
        <w:rPr>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er=&quot;720&quot; w:gutter=&quot;0&quot;/&gt;&lt;w:cols w:space=&quot;720&quot;/&gt;&lt;/w:sectPr&gt;&lt;/wx:sect&gt;&lt;/w:body&gt;&lt;/w:wordDocument&gt;">
            <v:imagedata r:id="rId8" o:title="" chromakey="white"/>
          </v:shape>
        </w:pict>
      </w:r>
      <w:r>
        <w:rPr>
          <w:color w:val="000000"/>
          <w:lang w:eastAsia="ko-KR"/>
        </w:rPr>
        <w:instrText xml:space="preserve"> </w:instrText>
      </w:r>
      <w:r>
        <w:rPr>
          <w:color w:val="000000"/>
          <w:lang w:eastAsia="ko-KR"/>
        </w:rPr>
        <w:fldChar w:fldCharType="separate"/>
      </w:r>
      <w:r w:rsidR="00DE0387">
        <w:rPr>
          <w:position w:val="-8"/>
        </w:rPr>
        <w:pict>
          <v:shape id="_x0000_i1026" type="#_x0000_t75" style="width:57.6pt;height:1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er=&quot;720&quot; w:gutter=&quot;0&quot;/&gt;&lt;w:cols w:space=&quot;720&quot;/&gt;&lt;/w:sectPr&gt;&lt;/wx:sect&gt;&lt;/w:body&gt;&lt;/w:wordDocument&gt;">
            <v:imagedata r:id="rId8" o:title="" chromakey="white"/>
          </v:shape>
        </w:pict>
      </w:r>
      <w:r>
        <w:rPr>
          <w:color w:val="000000"/>
          <w:lang w:eastAsia="ko-KR"/>
        </w:rPr>
        <w:fldChar w:fldCharType="end"/>
      </w:r>
      <w:r>
        <w:rPr>
          <w:color w:val="000000"/>
          <w:lang w:eastAsia="ko-KR"/>
        </w:rPr>
        <w:t xml:space="preserve"> non-overlapping RB set(s)</w:t>
      </w:r>
    </w:p>
    <w:p w:rsidR="00336F25" w:rsidRDefault="003B3F75">
      <w:pPr>
        <w:numPr>
          <w:ilvl w:val="0"/>
          <w:numId w:val="10"/>
        </w:numPr>
        <w:spacing w:before="100" w:beforeAutospacing="1" w:after="160" w:line="252" w:lineRule="auto"/>
        <w:contextualSpacing/>
        <w:rPr>
          <w:color w:val="000000"/>
          <w:lang w:eastAsia="ko-KR"/>
        </w:rPr>
      </w:pPr>
      <w:r>
        <w:rPr>
          <w:color w:val="000000"/>
          <w:lang w:eastAsia="ko-KR"/>
        </w:rPr>
        <w:t xml:space="preserve">For each RB set except for RB set 0, the starting CRB index is given by </w:t>
      </w:r>
      <w:r>
        <w:rPr>
          <w:i/>
          <w:iCs/>
          <w:color w:val="000000"/>
          <w:lang w:eastAsia="ko-KR"/>
        </w:rPr>
        <w:t>startCRB-r16</w:t>
      </w:r>
    </w:p>
    <w:p w:rsidR="00336F25" w:rsidRDefault="003B3F75">
      <w:pPr>
        <w:numPr>
          <w:ilvl w:val="1"/>
          <w:numId w:val="10"/>
        </w:numPr>
        <w:spacing w:before="100" w:beforeAutospacing="1" w:after="160" w:line="252" w:lineRule="auto"/>
        <w:contextualSpacing/>
        <w:rPr>
          <w:color w:val="000000"/>
          <w:lang w:eastAsia="ko-KR"/>
        </w:rPr>
      </w:pPr>
      <w:r>
        <w:rPr>
          <w:color w:val="000000"/>
          <w:lang w:eastAsia="ko-KR"/>
        </w:rPr>
        <w:t xml:space="preserve">For RB set 0, the starting CRB index is given by </w:t>
      </w:r>
      <w:r>
        <w:rPr>
          <w:color w:val="000000"/>
          <w:lang w:eastAsia="ko-KR"/>
        </w:rPr>
        <w:fldChar w:fldCharType="begin"/>
      </w:r>
      <w:r>
        <w:rPr>
          <w:color w:val="000000"/>
          <w:lang w:eastAsia="ko-KR"/>
        </w:rPr>
        <w:instrText xml:space="preserve"> QUOTE </w:instrText>
      </w:r>
      <w:r w:rsidR="00664762">
        <w:rPr>
          <w:position w:val="-9"/>
        </w:rPr>
        <w:pict>
          <v:shape id="_x0000_i1027" type="#_x0000_t75" style="width:30.05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74D&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93274D&quot; wsp:rsidP=&quot;0093274D&quot;&gt;&lt;m:oMathPara&gt;&lt;m:oMath&gt;&lt;m:sSubSup&gt;&lt;m:sSubSup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Sup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grid,UL&lt;/m:t&gt;&lt;/m:r&gt;&lt;/m:sub&gt;&lt;m:sup&gt;&lt;m:r&gt;&lt;m:rPr&gt;&lt;m:nor/&gt;&lt;/m:rPr&gt;&lt;w:rPr&gt;&lt;w:rFonts w:ascii=&quot;Times New Roman&quot; w:h-ansi=&quot;Times New Roman&quot;/&gt;&lt;wx:font wx:val=&quot;Times New Roman&quot;/&gt;&lt;w:color w:val=&quot;000000&quot;/&gt;&lt;w:sz-cs w:val=&quot;20&quot;/&gt;&lt;w:lang w:fareast=&quot;KO&quot;/&gt;&lt;/w:rPr&gt;&lt;m:t&gt;start&lt;/m:t&gt;&lt;/m:r&gt;&lt;m:r&gt;&lt;m:rPr&gt;&lt;m:sty m:val=&quot;p&quot;/&gt;&lt;/m:rPr&gt;&lt;w:rPr&gt;&lt;w:rFonts w:ascii=&quot;Cambria Math&quot; w:h-ansi=&quot;Cambria Math&quot;/&gt;&lt;wx:font wx:val=&quot;Cambria Math&quot;/&gt;&lt;w:color w:val=&quot;000000&quot;/&gt;&lt;w:sz-cs w:val=&quot;20&quot;/&gt;&lt;w:lang w:fareast=&quot;KO&quot;/&gt;&lt;/w:rPr&gt;&lt;m:t&gt;,&lt;/m:t&gt;&lt;/m:r&gt;&lt;m:r&gt;&lt;w:rPr&gt;&lt;w:rFonts w:ascii=&quot;Cambria Math&quot; w:h-ansi=&quot;Cambria Math&quot;/&gt;&lt;wx:font wx:val=&quot;Cambria Math&quot;/&gt;&lt;w:i/&gt;&lt;w:i-cs/&gt;&lt;w:color w:val=&quot;000000&quot;/&gt;&lt;w:sz-cs w:val=&quot;20&quot;/&gt;&lt;w:lang w:fareast=&quot;KO&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color w:val="000000"/>
          <w:lang w:eastAsia="ko-KR"/>
        </w:rPr>
        <w:instrText xml:space="preserve"> </w:instrText>
      </w:r>
      <w:r>
        <w:rPr>
          <w:color w:val="000000"/>
          <w:lang w:eastAsia="ko-KR"/>
        </w:rPr>
        <w:fldChar w:fldCharType="separate"/>
      </w:r>
      <w:r w:rsidR="00DE0387">
        <w:rPr>
          <w:position w:val="-9"/>
        </w:rPr>
        <w:pict>
          <v:shape id="_x0000_i1028" type="#_x0000_t75" style="width:30.05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74D&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93274D&quot; wsp:rsidP=&quot;0093274D&quot;&gt;&lt;m:oMathPara&gt;&lt;m:oMath&gt;&lt;m:sSubSup&gt;&lt;m:sSubSup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Sup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grid,UL&lt;/m:t&gt;&lt;/m:r&gt;&lt;/m:sub&gt;&lt;m:sup&gt;&lt;m:r&gt;&lt;m:rPr&gt;&lt;m:nor/&gt;&lt;/m:rPr&gt;&lt;w:rPr&gt;&lt;w:rFonts w:ascii=&quot;Times New Roman&quot; w:h-ansi=&quot;Times New Roman&quot;/&gt;&lt;wx:font wx:val=&quot;Times New Roman&quot;/&gt;&lt;w:color w:val=&quot;000000&quot;/&gt;&lt;w:sz-cs w:val=&quot;20&quot;/&gt;&lt;w:lang w:fareast=&quot;KO&quot;/&gt;&lt;/w:rPr&gt;&lt;m:t&gt;start&lt;/m:t&gt;&lt;/m:r&gt;&lt;m:r&gt;&lt;m:rPr&gt;&lt;m:sty m:val=&quot;p&quot;/&gt;&lt;/m:rPr&gt;&lt;w:rPr&gt;&lt;w:rFonts w:ascii=&quot;Cambria Math&quot; w:h-ansi=&quot;Cambria Math&quot;/&gt;&lt;wx:font wx:val=&quot;Cambria Math&quot;/&gt;&lt;w:color w:val=&quot;000000&quot;/&gt;&lt;w:sz-cs w:val=&quot;20&quot;/&gt;&lt;w:lang w:fareast=&quot;KO&quot;/&gt;&lt;/w:rPr&gt;&lt;m:t&gt;,&lt;/m:t&gt;&lt;/m:r&gt;&lt;m:r&gt;&lt;w:rPr&gt;&lt;w:rFonts w:ascii=&quot;Cambria Math&quot; w:h-ansi=&quot;Cambria Math&quot;/&gt;&lt;wx:font wx:val=&quot;Cambria Math&quot;/&gt;&lt;w:i/&gt;&lt;w:i-cs/&gt;&lt;w:color w:val=&quot;000000&quot;/&gt;&lt;w:sz-cs w:val=&quot;20&quot;/&gt;&lt;w:lang w:fareast=&quot;KO&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color w:val="000000"/>
          <w:lang w:eastAsia="ko-KR"/>
        </w:rPr>
        <w:fldChar w:fldCharType="end"/>
      </w:r>
    </w:p>
    <w:p w:rsidR="00336F25" w:rsidRDefault="003B3F75">
      <w:pPr>
        <w:numPr>
          <w:ilvl w:val="0"/>
          <w:numId w:val="10"/>
        </w:numPr>
        <w:spacing w:before="100" w:beforeAutospacing="1" w:after="160" w:line="252" w:lineRule="auto"/>
        <w:contextualSpacing/>
        <w:rPr>
          <w:lang w:eastAsia="ko-KR"/>
        </w:rPr>
      </w:pPr>
      <w:r>
        <w:rPr>
          <w:color w:val="000000"/>
          <w:lang w:eastAsia="ko-KR"/>
        </w:rPr>
        <w:t xml:space="preserve">The UE expects </w:t>
      </w:r>
      <w:r>
        <w:rPr>
          <w:i/>
          <w:iCs/>
          <w:color w:val="000000"/>
          <w:lang w:eastAsia="ko-KR"/>
        </w:rPr>
        <w:t>nrofCRBs-r16</w:t>
      </w:r>
      <w:r>
        <w:rPr>
          <w:color w:val="000000"/>
          <w:lang w:eastAsia="ko-KR"/>
        </w:rPr>
        <w:t xml:space="preserve"> </w:t>
      </w:r>
      <w:r>
        <w:rPr>
          <w:lang w:eastAsia="ko-KR"/>
        </w:rPr>
        <w:t>set to 0 for all GBs between two adjacent RB sets within the UL carrier.</w:t>
      </w:r>
    </w:p>
    <w:p w:rsidR="00336F25" w:rsidRDefault="003B3F75">
      <w:pPr>
        <w:numPr>
          <w:ilvl w:val="0"/>
          <w:numId w:val="10"/>
        </w:numPr>
        <w:spacing w:before="100" w:beforeAutospacing="1" w:after="160" w:line="252" w:lineRule="auto"/>
        <w:contextualSpacing/>
        <w:rPr>
          <w:lang w:eastAsia="ko-KR"/>
        </w:rPr>
      </w:pPr>
      <w:r>
        <w:rPr>
          <w:lang w:eastAsia="ko-KR"/>
        </w:rPr>
        <w:t>The UE expects N RBs contained in each interlace of each RB set, wherein 10 &lt;= N &lt;= 11.</w:t>
      </w:r>
    </w:p>
    <w:p w:rsidR="00336F25" w:rsidRDefault="003B3F75">
      <w:pPr>
        <w:numPr>
          <w:ilvl w:val="1"/>
          <w:numId w:val="10"/>
        </w:numPr>
        <w:spacing w:before="100" w:beforeAutospacing="1" w:after="160" w:line="252" w:lineRule="auto"/>
        <w:contextualSpacing/>
        <w:rPr>
          <w:lang w:eastAsia="ko-KR"/>
        </w:rPr>
      </w:pPr>
      <w:r>
        <w:rPr>
          <w:lang w:eastAsia="ko-KR"/>
        </w:rPr>
        <w:t>For 30 kHz SCS, the number of RBs within any RB set is between 50 and 55, and for 15 kHz SCS, the number of RBs within any RB set is between 100 and 110</w:t>
      </w:r>
    </w:p>
    <w:p w:rsidR="00336F25" w:rsidRDefault="003B3F75">
      <w:pPr>
        <w:numPr>
          <w:ilvl w:val="0"/>
          <w:numId w:val="10"/>
        </w:numPr>
        <w:spacing w:before="100" w:beforeAutospacing="1" w:after="160" w:line="252" w:lineRule="auto"/>
        <w:contextualSpacing/>
        <w:rPr>
          <w:lang w:eastAsia="ko-KR"/>
        </w:rPr>
      </w:pPr>
      <w:r>
        <w:rPr>
          <w:lang w:eastAsia="ko-KR"/>
        </w:rPr>
        <w:t>Note: This configuration may be used for the case where transmission only occurs in a BWP if LBT is successful in all RB sets within the BWP (from RAN1#99 agreement)</w:t>
      </w:r>
    </w:p>
    <w:p w:rsidR="00336F25" w:rsidRDefault="003B3F75">
      <w:pPr>
        <w:numPr>
          <w:ilvl w:val="0"/>
          <w:numId w:val="10"/>
        </w:numPr>
        <w:spacing w:before="100" w:beforeAutospacing="1" w:line="252" w:lineRule="auto"/>
        <w:contextualSpacing/>
        <w:rPr>
          <w:lang w:eastAsia="ko-KR"/>
        </w:rPr>
      </w:pPr>
      <w:r>
        <w:rPr>
          <w:lang w:eastAsia="ko-KR"/>
        </w:rPr>
        <w:t>Note: It’s up to gNB’s configuration to fulfill RAN4 requirement with  e.g., on maximum transmission bandwidth configuration, spectral emission mask, and so on.</w:t>
      </w:r>
    </w:p>
    <w:p w:rsidR="00336F25" w:rsidRDefault="003B3F75">
      <w:pPr>
        <w:numPr>
          <w:ilvl w:val="0"/>
          <w:numId w:val="10"/>
        </w:numPr>
        <w:spacing w:before="100" w:beforeAutospacing="1" w:line="252" w:lineRule="auto"/>
        <w:contextualSpacing/>
        <w:rPr>
          <w:lang w:eastAsia="ko-KR"/>
        </w:rPr>
      </w:pPr>
      <w:r>
        <w:rPr>
          <w:lang w:eastAsia="ko-KR"/>
        </w:rPr>
        <w:t>Note: In order to reuse existing PUCCH/PUSCH resource allocation mechanisms, this proposal applies to all supported carrier bandwidths except 10 MHz</w:t>
      </w:r>
    </w:p>
    <w:p w:rsidR="00336F25" w:rsidRDefault="003B3F75">
      <w:pPr>
        <w:numPr>
          <w:ilvl w:val="0"/>
          <w:numId w:val="10"/>
        </w:numPr>
        <w:spacing w:line="252" w:lineRule="auto"/>
        <w:rPr>
          <w:lang w:eastAsia="ko-KR"/>
        </w:rPr>
      </w:pPr>
      <w:r>
        <w:rPr>
          <w:lang w:eastAsia="ko-KR"/>
        </w:rPr>
        <w:t>FFS: Whether BWP can be configured to be partially overlapping with a RB set</w:t>
      </w:r>
    </w:p>
    <w:p w:rsidR="00336F25" w:rsidRDefault="003B3F75">
      <w:pPr>
        <w:jc w:val="both"/>
        <w:rPr>
          <w:lang w:val="en-US" w:eastAsia="zh-CN"/>
        </w:rPr>
      </w:pPr>
      <w:r>
        <w:rPr>
          <w:rFonts w:hint="eastAsia"/>
          <w:lang w:val="en-US" w:eastAsia="zh-CN"/>
        </w:rPr>
        <w:t>Among above bullets, a</w:t>
      </w:r>
      <w:r>
        <w:rPr>
          <w:lang w:val="en-US" w:eastAsia="zh-CN"/>
        </w:rPr>
        <w:t xml:space="preserve"> remaining issue related to</w:t>
      </w:r>
      <w:r>
        <w:rPr>
          <w:rFonts w:hint="eastAsia"/>
          <w:lang w:val="en-US" w:eastAsia="zh-CN"/>
        </w:rPr>
        <w:t xml:space="preserve"> relationship between BWP and RB set(s) </w:t>
      </w:r>
      <w:r>
        <w:rPr>
          <w:lang w:val="en-US" w:eastAsia="zh-CN"/>
        </w:rPr>
        <w:t xml:space="preserve">needs to be further clarified.  </w:t>
      </w:r>
    </w:p>
    <w:p w:rsidR="00336F25" w:rsidRDefault="003B3F75">
      <w:pPr>
        <w:jc w:val="both"/>
        <w:rPr>
          <w:rFonts w:eastAsia="宋体"/>
          <w:lang w:val="en-US" w:eastAsia="zh-CN"/>
        </w:rPr>
      </w:pPr>
      <w:r>
        <w:rPr>
          <w:rFonts w:eastAsia="宋体" w:hint="eastAsia"/>
          <w:lang w:val="en-US" w:eastAsia="zh-CN"/>
        </w:rPr>
        <w:t xml:space="preserve">Taking an UL carrier with SCS = 30 kHz and carrier bandwidth = 80 MHz as an example, the carrier bandwidth 80 MHz includes 217 PRBs as given in Table 5.3.2-1 in TS 38.101-1 copied below. According to the agreement reached in the last meeting, the number of PRBs contained in any RB set is between 50 and 55. The UL carrier can be divided into four unequal sized RB sets without any intra-cell guard bands. BWP with 20MHz bandwidth has 51 PRBs, and the start position of the BWP is flexible within the UL carrier. No matter how RB sets are divided in the UL carrier, it is difficult to ensure that the size of BWP (51 PRBs) is exactly equal to the number of PRBs of each RB set. There is a similar problem for BWP with 40MHz bandwidth (106 PRBs) and 60MHz bandwidth (162 PRBs). One solution is to reduce the maximum number of RBs with large bandwidth (such as from 217 to 204 RBs for 80 </w:t>
      </w:r>
      <w:r>
        <w:rPr>
          <w:rFonts w:eastAsia="宋体" w:hint="eastAsia"/>
          <w:lang w:val="en-US" w:eastAsia="zh-CN"/>
        </w:rPr>
        <w:lastRenderedPageBreak/>
        <w:t>MHz bandwidth), but it will obviously impact on available spectrum and spectra efficiency of large bandwidth. This solution is not desirable.</w:t>
      </w:r>
    </w:p>
    <w:p w:rsidR="00336F25" w:rsidRDefault="003B3F75">
      <w:pPr>
        <w:pStyle w:val="TH"/>
        <w:rPr>
          <w:lang w:eastAsia="zh-CN"/>
        </w:rPr>
      </w:pPr>
      <w:r>
        <w:rPr>
          <w:rFonts w:hint="eastAsia"/>
          <w:lang w:val="en-US" w:eastAsia="zh-CN"/>
        </w:rPr>
        <w:t>(TS 38.101-1 )</w:t>
      </w:r>
      <w:r>
        <w:t>Table 5.3.2-1: Maximum transmission bandwidth configuration N</w:t>
      </w:r>
      <w:r>
        <w:rPr>
          <w:vertAlign w:val="subscript"/>
        </w:rPr>
        <w:t>RB</w:t>
      </w:r>
    </w:p>
    <w:tbl>
      <w:tblPr>
        <w:tblpPr w:leftFromText="142" w:rightFromText="142" w:vertAnchor="text" w:tblpXSpec="center" w:tblpY="1"/>
        <w:tblOverlap w:val="never"/>
        <w:tblW w:w="3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9"/>
        <w:gridCol w:w="793"/>
        <w:gridCol w:w="793"/>
        <w:gridCol w:w="794"/>
        <w:gridCol w:w="792"/>
      </w:tblGrid>
      <w:tr w:rsidR="00336F25" w:rsidRPr="00664762">
        <w:trPr>
          <w:trHeight w:val="531"/>
        </w:trPr>
        <w:tc>
          <w:tcPr>
            <w:tcW w:w="639" w:type="dxa"/>
            <w:vMerge w:val="restart"/>
            <w:shd w:val="clear" w:color="auto" w:fill="auto"/>
            <w:tcMar>
              <w:top w:w="15" w:type="dxa"/>
              <w:left w:w="81" w:type="dxa"/>
              <w:bottom w:w="0" w:type="dxa"/>
              <w:right w:w="81" w:type="dxa"/>
            </w:tcMar>
            <w:vAlign w:val="center"/>
          </w:tcPr>
          <w:p w:rsidR="00336F25" w:rsidRPr="00664762" w:rsidRDefault="003B3F75">
            <w:pPr>
              <w:pStyle w:val="TAH"/>
            </w:pPr>
            <w:r w:rsidRPr="00664762">
              <w:t>SCS (kHz)</w:t>
            </w:r>
          </w:p>
        </w:tc>
        <w:tc>
          <w:tcPr>
            <w:tcW w:w="793" w:type="dxa"/>
            <w:shd w:val="clear" w:color="auto" w:fill="auto"/>
            <w:tcMar>
              <w:top w:w="15" w:type="dxa"/>
              <w:left w:w="81" w:type="dxa"/>
              <w:bottom w:w="0" w:type="dxa"/>
              <w:right w:w="81" w:type="dxa"/>
            </w:tcMar>
            <w:vAlign w:val="center"/>
          </w:tcPr>
          <w:p w:rsidR="00336F25" w:rsidRPr="00664762" w:rsidRDefault="003B3F75">
            <w:pPr>
              <w:pStyle w:val="TAH"/>
            </w:pPr>
            <w:r w:rsidRPr="00664762">
              <w:t>20 MHz</w:t>
            </w:r>
          </w:p>
        </w:tc>
        <w:tc>
          <w:tcPr>
            <w:tcW w:w="793" w:type="dxa"/>
            <w:shd w:val="clear" w:color="auto" w:fill="auto"/>
            <w:tcMar>
              <w:top w:w="15" w:type="dxa"/>
              <w:left w:w="81" w:type="dxa"/>
              <w:bottom w:w="0" w:type="dxa"/>
              <w:right w:w="81" w:type="dxa"/>
            </w:tcMar>
            <w:vAlign w:val="center"/>
          </w:tcPr>
          <w:p w:rsidR="00336F25" w:rsidRPr="00664762" w:rsidRDefault="003B3F75">
            <w:pPr>
              <w:pStyle w:val="TAH"/>
            </w:pPr>
            <w:r w:rsidRPr="00664762">
              <w:t>40 MHz</w:t>
            </w:r>
          </w:p>
        </w:tc>
        <w:tc>
          <w:tcPr>
            <w:tcW w:w="794" w:type="dxa"/>
            <w:shd w:val="clear" w:color="auto" w:fill="auto"/>
            <w:tcMar>
              <w:top w:w="15" w:type="dxa"/>
              <w:left w:w="81" w:type="dxa"/>
              <w:bottom w:w="0" w:type="dxa"/>
              <w:right w:w="81" w:type="dxa"/>
            </w:tcMar>
            <w:vAlign w:val="center"/>
          </w:tcPr>
          <w:p w:rsidR="00336F25" w:rsidRPr="00664762" w:rsidRDefault="003B3F75">
            <w:pPr>
              <w:pStyle w:val="TAH"/>
            </w:pPr>
            <w:r w:rsidRPr="00664762">
              <w:t>60 MHz</w:t>
            </w:r>
          </w:p>
        </w:tc>
        <w:tc>
          <w:tcPr>
            <w:tcW w:w="792" w:type="dxa"/>
            <w:shd w:val="clear" w:color="auto" w:fill="auto"/>
            <w:tcMar>
              <w:top w:w="15" w:type="dxa"/>
              <w:left w:w="81" w:type="dxa"/>
              <w:bottom w:w="0" w:type="dxa"/>
              <w:right w:w="81" w:type="dxa"/>
            </w:tcMar>
            <w:vAlign w:val="center"/>
          </w:tcPr>
          <w:p w:rsidR="00336F25" w:rsidRPr="00664762" w:rsidRDefault="003B3F75">
            <w:pPr>
              <w:pStyle w:val="TAH"/>
            </w:pPr>
            <w:r w:rsidRPr="00664762">
              <w:t>80 MHz</w:t>
            </w:r>
          </w:p>
        </w:tc>
      </w:tr>
      <w:tr w:rsidR="00336F25" w:rsidRPr="00664762">
        <w:trPr>
          <w:trHeight w:val="284"/>
        </w:trPr>
        <w:tc>
          <w:tcPr>
            <w:tcW w:w="639" w:type="dxa"/>
            <w:vMerge/>
            <w:vAlign w:val="center"/>
          </w:tcPr>
          <w:p w:rsidR="00336F25" w:rsidRPr="00664762" w:rsidRDefault="00336F25">
            <w:pPr>
              <w:pStyle w:val="TAH"/>
            </w:pPr>
          </w:p>
        </w:tc>
        <w:tc>
          <w:tcPr>
            <w:tcW w:w="793" w:type="dxa"/>
            <w:shd w:val="clear" w:color="auto" w:fill="auto"/>
            <w:tcMar>
              <w:top w:w="15" w:type="dxa"/>
              <w:left w:w="81" w:type="dxa"/>
              <w:bottom w:w="0" w:type="dxa"/>
              <w:right w:w="81" w:type="dxa"/>
            </w:tcMar>
            <w:vAlign w:val="center"/>
          </w:tcPr>
          <w:p w:rsidR="00336F25" w:rsidRPr="00664762" w:rsidRDefault="003B3F75">
            <w:pPr>
              <w:pStyle w:val="TAH"/>
            </w:pPr>
            <w:r w:rsidRPr="00664762">
              <w:t>N</w:t>
            </w:r>
            <w:r w:rsidRPr="00664762">
              <w:rPr>
                <w:vertAlign w:val="subscript"/>
              </w:rPr>
              <w:t>RB</w:t>
            </w:r>
          </w:p>
        </w:tc>
        <w:tc>
          <w:tcPr>
            <w:tcW w:w="793" w:type="dxa"/>
            <w:shd w:val="clear" w:color="auto" w:fill="auto"/>
            <w:tcMar>
              <w:top w:w="15" w:type="dxa"/>
              <w:left w:w="81" w:type="dxa"/>
              <w:bottom w:w="0" w:type="dxa"/>
              <w:right w:w="81" w:type="dxa"/>
            </w:tcMar>
            <w:vAlign w:val="center"/>
          </w:tcPr>
          <w:p w:rsidR="00336F25" w:rsidRPr="00664762" w:rsidRDefault="003B3F75">
            <w:pPr>
              <w:pStyle w:val="TAH"/>
            </w:pPr>
            <w:r w:rsidRPr="00664762">
              <w:t>N</w:t>
            </w:r>
            <w:r w:rsidRPr="00664762">
              <w:rPr>
                <w:vertAlign w:val="subscript"/>
              </w:rPr>
              <w:t>RB</w:t>
            </w:r>
          </w:p>
        </w:tc>
        <w:tc>
          <w:tcPr>
            <w:tcW w:w="794" w:type="dxa"/>
            <w:shd w:val="clear" w:color="auto" w:fill="auto"/>
            <w:tcMar>
              <w:top w:w="15" w:type="dxa"/>
              <w:left w:w="81" w:type="dxa"/>
              <w:bottom w:w="0" w:type="dxa"/>
              <w:right w:w="81" w:type="dxa"/>
            </w:tcMar>
            <w:vAlign w:val="center"/>
          </w:tcPr>
          <w:p w:rsidR="00336F25" w:rsidRPr="00664762" w:rsidRDefault="003B3F75">
            <w:pPr>
              <w:pStyle w:val="TAH"/>
            </w:pPr>
            <w:r w:rsidRPr="00664762">
              <w:t>N</w:t>
            </w:r>
            <w:r w:rsidRPr="00664762">
              <w:rPr>
                <w:vertAlign w:val="subscript"/>
              </w:rPr>
              <w:t>RB</w:t>
            </w:r>
          </w:p>
        </w:tc>
        <w:tc>
          <w:tcPr>
            <w:tcW w:w="792" w:type="dxa"/>
            <w:shd w:val="clear" w:color="auto" w:fill="auto"/>
            <w:tcMar>
              <w:top w:w="15" w:type="dxa"/>
              <w:left w:w="81" w:type="dxa"/>
              <w:bottom w:w="0" w:type="dxa"/>
              <w:right w:w="81" w:type="dxa"/>
            </w:tcMar>
            <w:vAlign w:val="center"/>
          </w:tcPr>
          <w:p w:rsidR="00336F25" w:rsidRPr="00664762" w:rsidRDefault="003B3F75">
            <w:pPr>
              <w:pStyle w:val="TAH"/>
            </w:pPr>
            <w:r w:rsidRPr="00664762">
              <w:t>N</w:t>
            </w:r>
            <w:r w:rsidRPr="00664762">
              <w:rPr>
                <w:vertAlign w:val="subscript"/>
              </w:rPr>
              <w:t>RB</w:t>
            </w:r>
          </w:p>
        </w:tc>
      </w:tr>
      <w:tr w:rsidR="00336F25" w:rsidRPr="00664762">
        <w:trPr>
          <w:trHeight w:val="270"/>
        </w:trPr>
        <w:tc>
          <w:tcPr>
            <w:tcW w:w="639" w:type="dxa"/>
            <w:shd w:val="clear" w:color="auto" w:fill="auto"/>
            <w:tcMar>
              <w:top w:w="15" w:type="dxa"/>
              <w:left w:w="81" w:type="dxa"/>
              <w:bottom w:w="0" w:type="dxa"/>
              <w:right w:w="81" w:type="dxa"/>
            </w:tcMar>
            <w:vAlign w:val="center"/>
          </w:tcPr>
          <w:p w:rsidR="00336F25" w:rsidRPr="00664762" w:rsidRDefault="003B3F75">
            <w:pPr>
              <w:pStyle w:val="TAC"/>
            </w:pPr>
            <w:r w:rsidRPr="00664762">
              <w:t>15</w:t>
            </w:r>
          </w:p>
        </w:tc>
        <w:tc>
          <w:tcPr>
            <w:tcW w:w="793" w:type="dxa"/>
            <w:shd w:val="clear" w:color="auto" w:fill="auto"/>
            <w:tcMar>
              <w:top w:w="15" w:type="dxa"/>
              <w:left w:w="81" w:type="dxa"/>
              <w:bottom w:w="0" w:type="dxa"/>
              <w:right w:w="81" w:type="dxa"/>
            </w:tcMar>
            <w:vAlign w:val="center"/>
          </w:tcPr>
          <w:p w:rsidR="00336F25" w:rsidRPr="00664762" w:rsidRDefault="003B3F75">
            <w:pPr>
              <w:pStyle w:val="TAC"/>
            </w:pPr>
            <w:r w:rsidRPr="00664762">
              <w:t>106</w:t>
            </w:r>
          </w:p>
        </w:tc>
        <w:tc>
          <w:tcPr>
            <w:tcW w:w="793" w:type="dxa"/>
            <w:shd w:val="clear" w:color="auto" w:fill="auto"/>
            <w:tcMar>
              <w:top w:w="15" w:type="dxa"/>
              <w:left w:w="81" w:type="dxa"/>
              <w:bottom w:w="0" w:type="dxa"/>
              <w:right w:w="81" w:type="dxa"/>
            </w:tcMar>
            <w:vAlign w:val="center"/>
          </w:tcPr>
          <w:p w:rsidR="00336F25" w:rsidRPr="00664762" w:rsidRDefault="003B3F75">
            <w:pPr>
              <w:pStyle w:val="TAC"/>
            </w:pPr>
            <w:r w:rsidRPr="00664762">
              <w:t>216</w:t>
            </w:r>
          </w:p>
        </w:tc>
        <w:tc>
          <w:tcPr>
            <w:tcW w:w="794" w:type="dxa"/>
            <w:shd w:val="clear" w:color="auto" w:fill="auto"/>
            <w:tcMar>
              <w:top w:w="15" w:type="dxa"/>
              <w:left w:w="81" w:type="dxa"/>
              <w:bottom w:w="0" w:type="dxa"/>
              <w:right w:w="81" w:type="dxa"/>
            </w:tcMar>
            <w:vAlign w:val="center"/>
          </w:tcPr>
          <w:p w:rsidR="00336F25" w:rsidRPr="00664762" w:rsidRDefault="003B3F75">
            <w:pPr>
              <w:pStyle w:val="TAC"/>
            </w:pPr>
            <w:r w:rsidRPr="00664762">
              <w:t>N/A</w:t>
            </w:r>
          </w:p>
        </w:tc>
        <w:tc>
          <w:tcPr>
            <w:tcW w:w="792" w:type="dxa"/>
            <w:shd w:val="clear" w:color="auto" w:fill="auto"/>
            <w:tcMar>
              <w:top w:w="15" w:type="dxa"/>
              <w:left w:w="81" w:type="dxa"/>
              <w:bottom w:w="0" w:type="dxa"/>
              <w:right w:w="81" w:type="dxa"/>
            </w:tcMar>
            <w:vAlign w:val="center"/>
          </w:tcPr>
          <w:p w:rsidR="00336F25" w:rsidRPr="00664762" w:rsidRDefault="003B3F75">
            <w:pPr>
              <w:pStyle w:val="TAC"/>
            </w:pPr>
            <w:r w:rsidRPr="00664762">
              <w:t>N/A</w:t>
            </w:r>
          </w:p>
        </w:tc>
      </w:tr>
      <w:tr w:rsidR="00336F25" w:rsidRPr="00664762">
        <w:trPr>
          <w:trHeight w:val="270"/>
        </w:trPr>
        <w:tc>
          <w:tcPr>
            <w:tcW w:w="639" w:type="dxa"/>
            <w:shd w:val="clear" w:color="auto" w:fill="auto"/>
            <w:tcMar>
              <w:top w:w="15" w:type="dxa"/>
              <w:left w:w="81" w:type="dxa"/>
              <w:bottom w:w="0" w:type="dxa"/>
              <w:right w:w="81" w:type="dxa"/>
            </w:tcMar>
            <w:vAlign w:val="center"/>
          </w:tcPr>
          <w:p w:rsidR="00336F25" w:rsidRPr="00664762" w:rsidRDefault="003B3F75">
            <w:pPr>
              <w:pStyle w:val="TAC"/>
            </w:pPr>
            <w:r w:rsidRPr="00664762">
              <w:t>30</w:t>
            </w:r>
          </w:p>
        </w:tc>
        <w:tc>
          <w:tcPr>
            <w:tcW w:w="793" w:type="dxa"/>
            <w:shd w:val="clear" w:color="auto" w:fill="auto"/>
            <w:tcMar>
              <w:top w:w="15" w:type="dxa"/>
              <w:left w:w="81" w:type="dxa"/>
              <w:bottom w:w="0" w:type="dxa"/>
              <w:right w:w="81" w:type="dxa"/>
            </w:tcMar>
            <w:vAlign w:val="center"/>
          </w:tcPr>
          <w:p w:rsidR="00336F25" w:rsidRPr="00664762" w:rsidRDefault="003B3F75">
            <w:pPr>
              <w:pStyle w:val="TAC"/>
            </w:pPr>
            <w:r w:rsidRPr="00664762">
              <w:t>51</w:t>
            </w:r>
          </w:p>
        </w:tc>
        <w:tc>
          <w:tcPr>
            <w:tcW w:w="793" w:type="dxa"/>
            <w:shd w:val="clear" w:color="auto" w:fill="auto"/>
            <w:tcMar>
              <w:top w:w="15" w:type="dxa"/>
              <w:left w:w="81" w:type="dxa"/>
              <w:bottom w:w="0" w:type="dxa"/>
              <w:right w:w="81" w:type="dxa"/>
            </w:tcMar>
            <w:vAlign w:val="center"/>
          </w:tcPr>
          <w:p w:rsidR="00336F25" w:rsidRPr="00664762" w:rsidRDefault="003B3F75">
            <w:pPr>
              <w:pStyle w:val="TAC"/>
            </w:pPr>
            <w:r w:rsidRPr="00664762">
              <w:t>106</w:t>
            </w:r>
          </w:p>
        </w:tc>
        <w:tc>
          <w:tcPr>
            <w:tcW w:w="794" w:type="dxa"/>
            <w:shd w:val="clear" w:color="auto" w:fill="auto"/>
            <w:tcMar>
              <w:top w:w="15" w:type="dxa"/>
              <w:left w:w="81" w:type="dxa"/>
              <w:bottom w:w="0" w:type="dxa"/>
              <w:right w:w="81" w:type="dxa"/>
            </w:tcMar>
            <w:vAlign w:val="center"/>
          </w:tcPr>
          <w:p w:rsidR="00336F25" w:rsidRPr="00664762" w:rsidRDefault="003B3F75">
            <w:pPr>
              <w:pStyle w:val="TAC"/>
            </w:pPr>
            <w:r w:rsidRPr="00664762">
              <w:t>162</w:t>
            </w:r>
          </w:p>
        </w:tc>
        <w:tc>
          <w:tcPr>
            <w:tcW w:w="792" w:type="dxa"/>
            <w:shd w:val="clear" w:color="auto" w:fill="auto"/>
            <w:tcMar>
              <w:top w:w="15" w:type="dxa"/>
              <w:left w:w="81" w:type="dxa"/>
              <w:bottom w:w="0" w:type="dxa"/>
              <w:right w:w="81" w:type="dxa"/>
            </w:tcMar>
            <w:vAlign w:val="center"/>
          </w:tcPr>
          <w:p w:rsidR="00336F25" w:rsidRPr="00664762" w:rsidRDefault="003B3F75">
            <w:pPr>
              <w:pStyle w:val="TAC"/>
            </w:pPr>
            <w:r w:rsidRPr="00664762">
              <w:t>217</w:t>
            </w:r>
          </w:p>
        </w:tc>
      </w:tr>
    </w:tbl>
    <w:p w:rsidR="00336F25" w:rsidRPr="00664762" w:rsidRDefault="00336F25">
      <w:pPr>
        <w:rPr>
          <w:lang w:val="en-US"/>
        </w:rPr>
      </w:pPr>
    </w:p>
    <w:p w:rsidR="00336F25" w:rsidRPr="00664762" w:rsidRDefault="00336F25">
      <w:pPr>
        <w:rPr>
          <w:lang w:val="en-US"/>
        </w:rPr>
      </w:pPr>
    </w:p>
    <w:p w:rsidR="00336F25" w:rsidRPr="00664762" w:rsidRDefault="00336F25">
      <w:pPr>
        <w:rPr>
          <w:lang w:val="en-US"/>
        </w:rPr>
      </w:pPr>
    </w:p>
    <w:p w:rsidR="00336F25" w:rsidRPr="00664762" w:rsidRDefault="00336F25">
      <w:pPr>
        <w:jc w:val="both"/>
        <w:rPr>
          <w:rFonts w:eastAsia="宋体"/>
          <w:lang w:val="en-US" w:eastAsia="zh-CN"/>
        </w:rPr>
      </w:pPr>
    </w:p>
    <w:p w:rsidR="00336F25" w:rsidRDefault="003B3F75">
      <w:pPr>
        <w:jc w:val="both"/>
        <w:rPr>
          <w:rFonts w:eastAsia="宋体"/>
          <w:lang w:val="en-US" w:eastAsia="zh-CN"/>
        </w:rPr>
      </w:pPr>
      <w:r w:rsidRPr="00664762">
        <w:rPr>
          <w:rFonts w:eastAsia="宋体" w:hint="eastAsia"/>
          <w:lang w:val="en-US" w:eastAsia="zh-CN"/>
        </w:rPr>
        <w:t xml:space="preserve">Therefore, unlike with intra-cell GB [1], we think </w:t>
      </w:r>
      <w:r w:rsidRPr="00664762">
        <w:rPr>
          <w:lang w:eastAsia="ko-KR"/>
        </w:rPr>
        <w:t>BWP can be configured to be partially overlapping with a RB set</w:t>
      </w:r>
      <w:r w:rsidRPr="00664762">
        <w:rPr>
          <w:rFonts w:eastAsia="宋体" w:hint="eastAsia"/>
          <w:lang w:val="en-US" w:eastAsia="zh-CN"/>
        </w:rPr>
        <w:t xml:space="preserve"> at least for the case without intra-cell GB. However, in order</w:t>
      </w:r>
      <w:r w:rsidRPr="00664762">
        <w:rPr>
          <w:lang w:eastAsia="ko-KR"/>
        </w:rPr>
        <w:t xml:space="preserve"> to reuse existing PUCCH/PUSCH resource allocation mechanism</w:t>
      </w:r>
      <w:r w:rsidRPr="00664762">
        <w:rPr>
          <w:rFonts w:eastAsia="宋体" w:hint="eastAsia"/>
          <w:lang w:val="en-US" w:eastAsia="zh-CN"/>
        </w:rPr>
        <w:t>s, some restrictions should be made. The following restrictions on each RB sets within the UL carrier that has already agreed in last e-meeting need to be used for partial RB sets in BWP as</w:t>
      </w:r>
      <w:r>
        <w:rPr>
          <w:rFonts w:eastAsia="宋体" w:hint="eastAsia"/>
          <w:lang w:val="en-US" w:eastAsia="zh-CN"/>
        </w:rPr>
        <w:t xml:space="preserve"> well. RAN1 can further restrict that start CRB index of BWP aligns with start CRB index of a RB set as same as the case with intra-cell GB (</w:t>
      </w:r>
      <m:oMath>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start,μ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oMath>
      <w:r>
        <w:rPr>
          <w:rFonts w:eastAsia="宋体" w:hint="eastAsia"/>
          <w:lang w:val="en-US" w:eastAsia="zh-CN"/>
        </w:rPr>
        <w:t>).</w:t>
      </w:r>
    </w:p>
    <w:p w:rsidR="00336F25" w:rsidRDefault="003B3F75">
      <w:pPr>
        <w:numPr>
          <w:ilvl w:val="0"/>
          <w:numId w:val="10"/>
        </w:numPr>
        <w:spacing w:before="100" w:beforeAutospacing="1" w:after="160" w:line="252" w:lineRule="auto"/>
        <w:contextualSpacing/>
        <w:rPr>
          <w:lang w:eastAsia="ko-KR"/>
        </w:rPr>
      </w:pPr>
      <w:r>
        <w:rPr>
          <w:lang w:eastAsia="ko-KR"/>
        </w:rPr>
        <w:t>The UE expects N RBs contained in each interlace of each RB set, wherein 10 &lt;= N &lt;= 11.</w:t>
      </w:r>
    </w:p>
    <w:p w:rsidR="00336F25" w:rsidRDefault="003B3F75">
      <w:pPr>
        <w:numPr>
          <w:ilvl w:val="1"/>
          <w:numId w:val="10"/>
        </w:numPr>
        <w:spacing w:before="100" w:beforeAutospacing="1" w:after="160" w:line="252" w:lineRule="auto"/>
        <w:contextualSpacing/>
        <w:rPr>
          <w:lang w:eastAsia="ko-KR"/>
        </w:rPr>
      </w:pPr>
      <w:r>
        <w:rPr>
          <w:lang w:eastAsia="ko-KR"/>
        </w:rPr>
        <w:t>For 30 kHz SCS, the number of RBs within any RB set is between 50 and 55, and for 15 kHz SCS, the number of RBs within any RB set is between 100 and 110</w:t>
      </w:r>
    </w:p>
    <w:p w:rsidR="00336F25" w:rsidRDefault="00336F25">
      <w:pPr>
        <w:rPr>
          <w:lang w:val="en-US" w:eastAsia="zh-CN"/>
        </w:rPr>
      </w:pPr>
    </w:p>
    <w:p w:rsidR="00336F25" w:rsidRDefault="003B3F75">
      <w:pPr>
        <w:jc w:val="center"/>
      </w:pPr>
      <w:r>
        <w:rPr>
          <w:noProof/>
          <w:lang w:val="en-US" w:eastAsia="zh-CN"/>
        </w:rPr>
        <w:drawing>
          <wp:inline distT="0" distB="0" distL="114300" distR="114300">
            <wp:extent cx="4897755" cy="2967355"/>
            <wp:effectExtent l="0" t="0" r="17145" b="444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0"/>
                    <a:stretch>
                      <a:fillRect/>
                    </a:stretch>
                  </pic:blipFill>
                  <pic:spPr>
                    <a:xfrm>
                      <a:off x="0" y="0"/>
                      <a:ext cx="4897755" cy="2967355"/>
                    </a:xfrm>
                    <a:prstGeom prst="rect">
                      <a:avLst/>
                    </a:prstGeom>
                    <a:noFill/>
                    <a:ln>
                      <a:noFill/>
                    </a:ln>
                  </pic:spPr>
                </pic:pic>
              </a:graphicData>
            </a:graphic>
          </wp:inline>
        </w:drawing>
      </w:r>
    </w:p>
    <w:p w:rsidR="00336F25" w:rsidRDefault="003B3F75">
      <w:pPr>
        <w:jc w:val="center"/>
        <w:rPr>
          <w:rFonts w:eastAsia="宋体"/>
          <w:lang w:val="en-US" w:eastAsia="zh-CN"/>
        </w:rPr>
      </w:pPr>
      <w:r>
        <w:rPr>
          <w:rFonts w:eastAsia="宋体" w:hint="eastAsia"/>
          <w:lang w:val="en-US" w:eastAsia="zh-CN"/>
        </w:rPr>
        <w:t>Figure 1. Relationship between BWP and RB set(s) in an UL carrier w/o intra-cell GB</w:t>
      </w:r>
    </w:p>
    <w:p w:rsidR="00336F25" w:rsidRPr="00664762" w:rsidRDefault="003B3F75">
      <w:pPr>
        <w:spacing w:line="260" w:lineRule="auto"/>
        <w:jc w:val="both"/>
        <w:rPr>
          <w:rFonts w:eastAsia="宋体"/>
          <w:b/>
          <w:bCs/>
          <w:iCs/>
          <w:lang w:val="en-US" w:eastAsia="zh-CN"/>
        </w:rPr>
      </w:pPr>
      <w:r>
        <w:rPr>
          <w:rFonts w:eastAsia="宋体" w:hint="eastAsia"/>
          <w:b/>
          <w:szCs w:val="18"/>
          <w:lang w:val="en-US" w:eastAsia="zh-CN"/>
        </w:rPr>
        <w:t xml:space="preserve">Proposal 1: </w:t>
      </w:r>
      <w:r>
        <w:rPr>
          <w:b/>
          <w:bCs/>
          <w:lang w:eastAsia="ko-KR"/>
        </w:rPr>
        <w:t>BWP can be configured to be partially overlapping with a RB set</w:t>
      </w:r>
      <w:r>
        <w:rPr>
          <w:rFonts w:eastAsia="宋体" w:hint="eastAsia"/>
          <w:b/>
          <w:bCs/>
          <w:lang w:val="en-US" w:eastAsia="zh-CN"/>
        </w:rPr>
        <w:t xml:space="preserve"> for an UL carrier without intra-cell GB, and the following restric</w:t>
      </w:r>
      <w:r w:rsidRPr="00664762">
        <w:rPr>
          <w:rFonts w:eastAsia="宋体" w:hint="eastAsia"/>
          <w:b/>
          <w:bCs/>
          <w:lang w:val="en-US" w:eastAsia="zh-CN"/>
        </w:rPr>
        <w:t>tions should be made</w:t>
      </w:r>
      <w:r w:rsidRPr="00664762">
        <w:rPr>
          <w:rFonts w:eastAsia="宋体" w:hint="eastAsia"/>
          <w:b/>
          <w:bCs/>
          <w:szCs w:val="18"/>
          <w:lang w:val="en-US" w:eastAsia="zh-CN"/>
        </w:rPr>
        <w:t>.</w:t>
      </w:r>
    </w:p>
    <w:p w:rsidR="00336F25" w:rsidRPr="00664762" w:rsidRDefault="003B3F75">
      <w:pPr>
        <w:numPr>
          <w:ilvl w:val="0"/>
          <w:numId w:val="10"/>
        </w:numPr>
        <w:spacing w:before="100" w:beforeAutospacing="1" w:after="160" w:line="252" w:lineRule="auto"/>
        <w:contextualSpacing/>
        <w:rPr>
          <w:b/>
          <w:bCs/>
          <w:lang w:eastAsia="ko-KR"/>
        </w:rPr>
      </w:pPr>
      <w:r w:rsidRPr="00664762">
        <w:rPr>
          <w:b/>
          <w:bCs/>
          <w:lang w:eastAsia="ko-KR"/>
        </w:rPr>
        <w:t>The UE expects N RBs contained in each interlace of each RB set</w:t>
      </w:r>
      <w:r w:rsidRPr="00664762">
        <w:rPr>
          <w:rFonts w:eastAsia="宋体" w:hint="eastAsia"/>
          <w:b/>
          <w:bCs/>
          <w:lang w:val="en-US" w:eastAsia="zh-CN"/>
        </w:rPr>
        <w:t xml:space="preserve"> or partial RB set within a BWP</w:t>
      </w:r>
      <w:r w:rsidRPr="00664762">
        <w:rPr>
          <w:b/>
          <w:bCs/>
          <w:lang w:eastAsia="ko-KR"/>
        </w:rPr>
        <w:t>, wherein 10 &lt;= N &lt;= 11.</w:t>
      </w:r>
    </w:p>
    <w:p w:rsidR="00336F25" w:rsidRPr="00664762" w:rsidRDefault="003B3F75">
      <w:pPr>
        <w:numPr>
          <w:ilvl w:val="1"/>
          <w:numId w:val="10"/>
        </w:numPr>
        <w:spacing w:before="100" w:beforeAutospacing="1" w:after="160" w:line="252" w:lineRule="auto"/>
        <w:contextualSpacing/>
        <w:rPr>
          <w:b/>
          <w:bCs/>
          <w:lang w:eastAsia="ko-KR"/>
        </w:rPr>
      </w:pPr>
      <w:r w:rsidRPr="00664762">
        <w:rPr>
          <w:b/>
          <w:bCs/>
          <w:lang w:eastAsia="ko-KR"/>
        </w:rPr>
        <w:t>For 30 kHz SCS, the number of RBs within any RB set</w:t>
      </w:r>
      <w:r w:rsidRPr="00664762">
        <w:rPr>
          <w:rFonts w:eastAsia="宋体" w:hint="eastAsia"/>
          <w:b/>
          <w:bCs/>
          <w:lang w:val="en-US" w:eastAsia="zh-CN"/>
        </w:rPr>
        <w:t xml:space="preserve"> or partial RB set within a BWP</w:t>
      </w:r>
      <w:r w:rsidRPr="00664762">
        <w:rPr>
          <w:b/>
          <w:bCs/>
          <w:lang w:eastAsia="ko-KR"/>
        </w:rPr>
        <w:t xml:space="preserve"> is between 50 and 55, and for 15 kHz SCS, the number of RBs within any RB set</w:t>
      </w:r>
      <w:r w:rsidRPr="00664762">
        <w:rPr>
          <w:rFonts w:eastAsia="宋体" w:hint="eastAsia"/>
          <w:b/>
          <w:bCs/>
          <w:lang w:val="en-US" w:eastAsia="zh-CN"/>
        </w:rPr>
        <w:t xml:space="preserve"> or partial RB set within a BWP</w:t>
      </w:r>
      <w:r w:rsidRPr="00664762">
        <w:rPr>
          <w:b/>
          <w:bCs/>
          <w:lang w:eastAsia="ko-KR"/>
        </w:rPr>
        <w:t xml:space="preserve"> is between 100 and 110</w:t>
      </w:r>
    </w:p>
    <w:p w:rsidR="00336F25" w:rsidRDefault="003B3F75">
      <w:pPr>
        <w:numPr>
          <w:ilvl w:val="0"/>
          <w:numId w:val="10"/>
        </w:numPr>
        <w:spacing w:before="100" w:beforeAutospacing="1" w:after="160" w:line="252" w:lineRule="auto"/>
        <w:contextualSpacing/>
        <w:rPr>
          <w:b/>
          <w:bCs/>
          <w:lang w:eastAsia="ko-KR"/>
        </w:rPr>
      </w:pPr>
      <w:r>
        <w:rPr>
          <w:rFonts w:eastAsia="宋体" w:hint="eastAsia"/>
          <w:b/>
          <w:bCs/>
          <w:lang w:val="en-US" w:eastAsia="zh-CN"/>
        </w:rPr>
        <w:lastRenderedPageBreak/>
        <w:t>Start CRB index of BWP should be the same as start CRB index of a RB set, similar to the case with intra-cell GB (</w:t>
      </w:r>
      <m:oMath>
        <m:r>
          <m:rPr>
            <m:sty m:val="bi"/>
          </m:rPr>
          <w:rPr>
            <w:rFonts w:ascii="Cambria Math" w:eastAsia="Malgun Gothic" w:hAnsi="Cambria Math"/>
            <w:lang w:val="en-US"/>
          </w:rPr>
          <m:t xml:space="preserve"> </m:t>
        </m:r>
        <m:sSubSup>
          <m:sSubSupPr>
            <m:ctrlPr>
              <w:rPr>
                <w:rFonts w:ascii="Cambria Math" w:eastAsia="Malgun Gothic" w:hAnsi="Cambria Math"/>
                <w:b/>
                <w:bCs/>
                <w:i/>
              </w:rPr>
            </m:ctrlPr>
          </m:sSubSupPr>
          <m:e>
            <m:r>
              <m:rPr>
                <m:sty m:val="bi"/>
              </m:rPr>
              <w:rPr>
                <w:rFonts w:ascii="Cambria Math" w:eastAsia="Malgun Gothic" w:hAnsi="Cambria Math"/>
                <w:lang w:val="en-US"/>
              </w:rPr>
              <m:t>N</m:t>
            </m:r>
          </m:e>
          <m:sub>
            <m:r>
              <m:rPr>
                <m:sty m:val="bi"/>
              </m:rPr>
              <w:rPr>
                <w:rFonts w:ascii="Cambria Math" w:eastAsia="Malgun Gothic" w:hAnsi="Cambria Math"/>
                <w:lang w:val="en-US"/>
              </w:rPr>
              <m:t xml:space="preserve"> BWP,i</m:t>
            </m:r>
          </m:sub>
          <m:sup>
            <m:r>
              <m:rPr>
                <m:sty m:val="bi"/>
              </m:rPr>
              <w:rPr>
                <w:rFonts w:ascii="Cambria Math" w:eastAsia="Malgun Gothic" w:hAnsi="Cambria Math"/>
                <w:lang w:val="en-US"/>
              </w:rPr>
              <m:t>start,μ</m:t>
            </m:r>
          </m:sup>
        </m:sSubSup>
        <m:r>
          <m:rPr>
            <m:sty m:val="bi"/>
          </m:rPr>
          <w:rPr>
            <w:rFonts w:ascii="Cambria Math" w:eastAsia="Malgun Gothic" w:hAnsi="Cambria Math"/>
          </w:rPr>
          <m:t>=</m:t>
        </m:r>
        <m:sSubSup>
          <m:sSubSupPr>
            <m:ctrlPr>
              <w:rPr>
                <w:rFonts w:ascii="Cambria Math" w:eastAsia="Malgun Gothic" w:hAnsi="Cambria Math"/>
                <w:b/>
                <w:bCs/>
                <w:i/>
              </w:rPr>
            </m:ctrlPr>
          </m:sSubSupPr>
          <m:e>
            <m:r>
              <m:rPr>
                <m:sty m:val="bi"/>
              </m:rPr>
              <w:rPr>
                <w:rFonts w:ascii="Cambria Math" w:eastAsia="Malgun Gothic" w:hAnsi="Cambria Math"/>
                <w:lang w:val="en-US"/>
              </w:rPr>
              <m:t>RB</m:t>
            </m:r>
          </m:e>
          <m:sub>
            <m:r>
              <m:rPr>
                <m:sty m:val="bi"/>
              </m:rPr>
              <w:rPr>
                <w:rFonts w:ascii="Cambria Math" w:eastAsia="Malgun Gothic" w:hAnsi="Cambria Math"/>
                <w:lang w:val="en-US"/>
              </w:rPr>
              <m:t xml:space="preserve"> s</m:t>
            </m:r>
            <m:r>
              <m:rPr>
                <m:sty m:val="bi"/>
              </m:rPr>
              <w:rPr>
                <w:rFonts w:ascii="Cambria Math" w:eastAsia="Malgun Gothic" w:hAnsi="Cambria Math"/>
                <w:lang w:val="en-US"/>
              </w:rPr>
              <m:t>0,x</m:t>
            </m:r>
          </m:sub>
          <m:sup>
            <m:r>
              <m:rPr>
                <m:sty m:val="bi"/>
              </m:rPr>
              <w:rPr>
                <w:rFonts w:ascii="Cambria Math" w:eastAsia="Malgun Gothic" w:hAnsi="Cambria Math"/>
                <w:lang w:val="en-US"/>
              </w:rPr>
              <m:t>start,μ</m:t>
            </m:r>
          </m:sup>
        </m:sSubSup>
      </m:oMath>
      <w:r>
        <w:rPr>
          <w:rFonts w:eastAsia="宋体" w:hint="eastAsia"/>
          <w:b/>
          <w:bCs/>
          <w:lang w:val="en-US" w:eastAsia="zh-CN"/>
        </w:rPr>
        <w:t>).</w:t>
      </w:r>
    </w:p>
    <w:p w:rsidR="00336F25" w:rsidRDefault="003B3F75">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336F25" w:rsidRDefault="003B3F75">
      <w:pPr>
        <w:jc w:val="both"/>
        <w:rPr>
          <w:lang w:val="en-US" w:eastAsia="zh-CN"/>
        </w:rPr>
      </w:pPr>
      <w:r>
        <w:rPr>
          <w:rFonts w:hint="eastAsia"/>
          <w:lang w:val="en-US" w:eastAsia="zh-CN"/>
        </w:rPr>
        <w:t>In this contribution, we discuss wide-band operation for Rel-16 NR-U and have the following proposal.</w:t>
      </w:r>
    </w:p>
    <w:p w:rsidR="00336F25" w:rsidRDefault="003B3F75">
      <w:pPr>
        <w:spacing w:line="260" w:lineRule="auto"/>
        <w:jc w:val="both"/>
        <w:rPr>
          <w:rFonts w:eastAsia="宋体"/>
          <w:b/>
          <w:bCs/>
          <w:iCs/>
          <w:lang w:val="en-US" w:eastAsia="zh-CN"/>
        </w:rPr>
      </w:pPr>
      <w:r>
        <w:rPr>
          <w:rFonts w:eastAsia="宋体" w:hint="eastAsia"/>
          <w:b/>
          <w:szCs w:val="18"/>
          <w:lang w:val="en-US" w:eastAsia="zh-CN"/>
        </w:rPr>
        <w:t xml:space="preserve">Proposal 1: </w:t>
      </w:r>
      <w:r>
        <w:rPr>
          <w:b/>
          <w:bCs/>
          <w:lang w:eastAsia="ko-KR"/>
        </w:rPr>
        <w:t>BWP can be configured to be partially overlapping with a RB set</w:t>
      </w:r>
      <w:r>
        <w:rPr>
          <w:rFonts w:eastAsia="宋体" w:hint="eastAsia"/>
          <w:b/>
          <w:bCs/>
          <w:lang w:val="en-US" w:eastAsia="zh-CN"/>
        </w:rPr>
        <w:t xml:space="preserve"> for an UL carrier without intra-cell GB, and the following restrictions should be made</w:t>
      </w:r>
      <w:r>
        <w:rPr>
          <w:rFonts w:eastAsia="宋体" w:hint="eastAsia"/>
          <w:b/>
          <w:bCs/>
          <w:szCs w:val="18"/>
          <w:lang w:val="en-US" w:eastAsia="zh-CN"/>
        </w:rPr>
        <w:t>.</w:t>
      </w:r>
    </w:p>
    <w:p w:rsidR="00336F25" w:rsidRPr="00664762" w:rsidRDefault="003B3F75">
      <w:pPr>
        <w:numPr>
          <w:ilvl w:val="0"/>
          <w:numId w:val="10"/>
        </w:numPr>
        <w:spacing w:before="100" w:beforeAutospacing="1" w:after="160" w:line="252" w:lineRule="auto"/>
        <w:contextualSpacing/>
        <w:rPr>
          <w:b/>
          <w:bCs/>
          <w:lang w:eastAsia="ko-KR"/>
        </w:rPr>
      </w:pPr>
      <w:r>
        <w:rPr>
          <w:b/>
          <w:bCs/>
          <w:lang w:eastAsia="ko-KR"/>
        </w:rPr>
        <w:t xml:space="preserve">The UE expects N RBs contained in each </w:t>
      </w:r>
      <w:r w:rsidRPr="00664762">
        <w:rPr>
          <w:b/>
          <w:bCs/>
          <w:lang w:eastAsia="ko-KR"/>
        </w:rPr>
        <w:t>interlace of each RB set</w:t>
      </w:r>
      <w:r w:rsidRPr="00664762">
        <w:rPr>
          <w:rFonts w:eastAsia="宋体" w:hint="eastAsia"/>
          <w:b/>
          <w:bCs/>
          <w:lang w:val="en-US" w:eastAsia="zh-CN"/>
        </w:rPr>
        <w:t xml:space="preserve"> or partial RB set within a BWP</w:t>
      </w:r>
      <w:r w:rsidRPr="00664762">
        <w:rPr>
          <w:b/>
          <w:bCs/>
          <w:lang w:eastAsia="ko-KR"/>
        </w:rPr>
        <w:t>, wherein 10 &lt;= N &lt;= 11.</w:t>
      </w:r>
    </w:p>
    <w:p w:rsidR="00336F25" w:rsidRPr="00664762" w:rsidRDefault="003B3F75">
      <w:pPr>
        <w:numPr>
          <w:ilvl w:val="1"/>
          <w:numId w:val="10"/>
        </w:numPr>
        <w:spacing w:before="100" w:beforeAutospacing="1" w:after="160" w:line="252" w:lineRule="auto"/>
        <w:contextualSpacing/>
        <w:rPr>
          <w:b/>
          <w:bCs/>
          <w:lang w:eastAsia="ko-KR"/>
        </w:rPr>
      </w:pPr>
      <w:r w:rsidRPr="00664762">
        <w:rPr>
          <w:b/>
          <w:bCs/>
          <w:lang w:eastAsia="ko-KR"/>
        </w:rPr>
        <w:t>For 30 kHz SCS, the number of RBs within any RB set</w:t>
      </w:r>
      <w:r w:rsidRPr="00664762">
        <w:rPr>
          <w:rFonts w:eastAsia="宋体" w:hint="eastAsia"/>
          <w:b/>
          <w:bCs/>
          <w:lang w:val="en-US" w:eastAsia="zh-CN"/>
        </w:rPr>
        <w:t xml:space="preserve"> or partial RB set within a BWP</w:t>
      </w:r>
      <w:r w:rsidRPr="00664762">
        <w:rPr>
          <w:b/>
          <w:bCs/>
          <w:lang w:eastAsia="ko-KR"/>
        </w:rPr>
        <w:t xml:space="preserve"> is between 50 and 55, and for 15 kHz SCS, the number of RBs within any RB set</w:t>
      </w:r>
      <w:r w:rsidRPr="00664762">
        <w:rPr>
          <w:rFonts w:eastAsia="宋体" w:hint="eastAsia"/>
          <w:b/>
          <w:bCs/>
          <w:lang w:val="en-US" w:eastAsia="zh-CN"/>
        </w:rPr>
        <w:t xml:space="preserve"> or partial RB set within a BWP</w:t>
      </w:r>
      <w:r w:rsidRPr="00664762">
        <w:rPr>
          <w:b/>
          <w:bCs/>
          <w:lang w:eastAsia="ko-KR"/>
        </w:rPr>
        <w:t xml:space="preserve"> is between 100 and 110</w:t>
      </w:r>
    </w:p>
    <w:p w:rsidR="00336F25" w:rsidRPr="00664762" w:rsidRDefault="003B3F75">
      <w:pPr>
        <w:numPr>
          <w:ilvl w:val="0"/>
          <w:numId w:val="10"/>
        </w:numPr>
        <w:spacing w:before="100" w:beforeAutospacing="1" w:after="160" w:line="252" w:lineRule="auto"/>
        <w:contextualSpacing/>
        <w:rPr>
          <w:b/>
          <w:bCs/>
          <w:lang w:eastAsia="ko-KR"/>
        </w:rPr>
      </w:pPr>
      <w:r w:rsidRPr="00664762">
        <w:rPr>
          <w:rFonts w:eastAsia="宋体" w:hint="eastAsia"/>
          <w:b/>
          <w:bCs/>
          <w:lang w:val="en-US" w:eastAsia="zh-CN"/>
        </w:rPr>
        <w:t>Start CRB index of BWP should be the same as start CRB index of a RB set, similar to the case with intra-cell GB (</w:t>
      </w:r>
      <m:oMath>
        <m:r>
          <m:rPr>
            <m:sty m:val="bi"/>
          </m:rPr>
          <w:rPr>
            <w:rFonts w:ascii="Cambria Math" w:eastAsia="Malgun Gothic" w:hAnsi="Cambria Math"/>
            <w:lang w:val="en-US"/>
          </w:rPr>
          <m:t xml:space="preserve"> </m:t>
        </m:r>
        <m:sSubSup>
          <m:sSubSupPr>
            <m:ctrlPr>
              <w:rPr>
                <w:rFonts w:ascii="Cambria Math" w:eastAsia="Malgun Gothic" w:hAnsi="Cambria Math"/>
                <w:b/>
                <w:bCs/>
                <w:i/>
              </w:rPr>
            </m:ctrlPr>
          </m:sSubSupPr>
          <m:e>
            <m:r>
              <m:rPr>
                <m:sty m:val="bi"/>
              </m:rPr>
              <w:rPr>
                <w:rFonts w:ascii="Cambria Math" w:eastAsia="Malgun Gothic" w:hAnsi="Cambria Math"/>
                <w:lang w:val="en-US"/>
              </w:rPr>
              <m:t>N</m:t>
            </m:r>
          </m:e>
          <m:sub>
            <m:r>
              <m:rPr>
                <m:sty m:val="bi"/>
              </m:rPr>
              <w:rPr>
                <w:rFonts w:ascii="Cambria Math" w:eastAsia="Malgun Gothic" w:hAnsi="Cambria Math"/>
                <w:lang w:val="en-US"/>
              </w:rPr>
              <m:t xml:space="preserve"> BWP,i</m:t>
            </m:r>
          </m:sub>
          <m:sup>
            <m:r>
              <m:rPr>
                <m:sty m:val="bi"/>
              </m:rPr>
              <w:rPr>
                <w:rFonts w:ascii="Cambria Math" w:eastAsia="Malgun Gothic" w:hAnsi="Cambria Math"/>
                <w:lang w:val="en-US"/>
              </w:rPr>
              <m:t>start,μ</m:t>
            </m:r>
          </m:sup>
        </m:sSubSup>
        <m:r>
          <m:rPr>
            <m:sty m:val="bi"/>
          </m:rPr>
          <w:rPr>
            <w:rFonts w:ascii="Cambria Math" w:eastAsia="Malgun Gothic" w:hAnsi="Cambria Math"/>
          </w:rPr>
          <m:t>=</m:t>
        </m:r>
        <m:sSubSup>
          <m:sSubSupPr>
            <m:ctrlPr>
              <w:rPr>
                <w:rFonts w:ascii="Cambria Math" w:eastAsia="Malgun Gothic" w:hAnsi="Cambria Math"/>
                <w:b/>
                <w:bCs/>
                <w:i/>
              </w:rPr>
            </m:ctrlPr>
          </m:sSubSupPr>
          <m:e>
            <m:r>
              <m:rPr>
                <m:sty m:val="bi"/>
              </m:rPr>
              <w:rPr>
                <w:rFonts w:ascii="Cambria Math" w:eastAsia="Malgun Gothic" w:hAnsi="Cambria Math"/>
                <w:lang w:val="en-US"/>
              </w:rPr>
              <m:t>RB</m:t>
            </m:r>
          </m:e>
          <m:sub>
            <m:r>
              <m:rPr>
                <m:sty m:val="bi"/>
              </m:rPr>
              <w:rPr>
                <w:rFonts w:ascii="Cambria Math" w:eastAsia="Malgun Gothic" w:hAnsi="Cambria Math"/>
                <w:lang w:val="en-US"/>
              </w:rPr>
              <m:t xml:space="preserve"> s</m:t>
            </m:r>
            <m:r>
              <m:rPr>
                <m:sty m:val="bi"/>
              </m:rPr>
              <w:rPr>
                <w:rFonts w:ascii="Cambria Math" w:eastAsia="Malgun Gothic" w:hAnsi="Cambria Math"/>
                <w:lang w:val="en-US"/>
              </w:rPr>
              <m:t>0,x</m:t>
            </m:r>
          </m:sub>
          <m:sup>
            <m:r>
              <m:rPr>
                <m:sty m:val="bi"/>
              </m:rPr>
              <w:rPr>
                <w:rFonts w:ascii="Cambria Math" w:eastAsia="Malgun Gothic" w:hAnsi="Cambria Math"/>
                <w:lang w:val="en-US"/>
              </w:rPr>
              <m:t>start,μ</m:t>
            </m:r>
          </m:sup>
        </m:sSubSup>
      </m:oMath>
      <w:r w:rsidRPr="00664762">
        <w:rPr>
          <w:rFonts w:eastAsia="宋体" w:hint="eastAsia"/>
          <w:b/>
          <w:bCs/>
          <w:lang w:val="en-US" w:eastAsia="zh-CN"/>
        </w:rPr>
        <w:t>).</w:t>
      </w:r>
      <w:bookmarkStart w:id="5" w:name="_GoBack"/>
      <w:bookmarkEnd w:id="5"/>
    </w:p>
    <w:p w:rsidR="00336F25" w:rsidRDefault="00336F25">
      <w:pPr>
        <w:jc w:val="both"/>
        <w:rPr>
          <w:lang w:val="en-US" w:eastAsia="zh-CN"/>
        </w:rPr>
      </w:pPr>
    </w:p>
    <w:p w:rsidR="00336F25" w:rsidRDefault="003B3F75">
      <w:pPr>
        <w:pStyle w:val="Heading1"/>
        <w:spacing w:before="120" w:after="120" w:line="240" w:lineRule="auto"/>
        <w:jc w:val="both"/>
        <w:rPr>
          <w:rFonts w:ascii="Times New Roman" w:eastAsia="宋体" w:hAnsi="Times New Roman"/>
          <w:b/>
          <w:sz w:val="32"/>
          <w:szCs w:val="32"/>
          <w:lang w:val="en-US" w:eastAsia="zh-CN"/>
        </w:rPr>
      </w:pPr>
      <w:bookmarkStart w:id="6" w:name="IDX-CHP-8-0992"/>
      <w:bookmarkStart w:id="7" w:name="IDX-CHP-8-0996"/>
      <w:bookmarkStart w:id="8" w:name="IDX-CHP-8-0995"/>
      <w:bookmarkStart w:id="9" w:name="IDX-CHP-8-0993"/>
      <w:bookmarkStart w:id="10" w:name="IDX-CHP-8-0994"/>
      <w:bookmarkEnd w:id="0"/>
      <w:bookmarkEnd w:id="1"/>
      <w:bookmarkEnd w:id="2"/>
      <w:bookmarkEnd w:id="3"/>
      <w:bookmarkEnd w:id="6"/>
      <w:bookmarkEnd w:id="7"/>
      <w:bookmarkEnd w:id="8"/>
      <w:bookmarkEnd w:id="9"/>
      <w:bookmarkEnd w:id="10"/>
      <w:r>
        <w:rPr>
          <w:rFonts w:ascii="Times New Roman" w:eastAsia="宋体" w:hAnsi="Times New Roman" w:hint="eastAsia"/>
          <w:b/>
          <w:sz w:val="32"/>
          <w:szCs w:val="32"/>
          <w:lang w:val="en-US" w:eastAsia="zh-CN"/>
        </w:rPr>
        <w:t xml:space="preserve"> Reference</w:t>
      </w:r>
    </w:p>
    <w:bookmarkEnd w:id="4"/>
    <w:p w:rsidR="00336F25" w:rsidRDefault="003B3F75">
      <w:pPr>
        <w:widowControl w:val="0"/>
        <w:numPr>
          <w:ilvl w:val="0"/>
          <w:numId w:val="11"/>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3GPP TS 3</w:t>
      </w:r>
      <w:r>
        <w:rPr>
          <w:rFonts w:eastAsia="宋体" w:hint="eastAsia"/>
          <w:lang w:val="en-US" w:eastAsia="zh-CN"/>
        </w:rPr>
        <w:t>8</w:t>
      </w:r>
      <w:r>
        <w:rPr>
          <w:rFonts w:eastAsia="宋体"/>
          <w:lang w:val="en-US" w:eastAsia="zh-CN"/>
        </w:rPr>
        <w:t>.21</w:t>
      </w:r>
      <w:r>
        <w:rPr>
          <w:rFonts w:eastAsia="宋体" w:hint="eastAsia"/>
          <w:lang w:val="en-US" w:eastAsia="zh-CN"/>
        </w:rPr>
        <w:t>4 V16.1.0</w:t>
      </w:r>
      <w:r>
        <w:rPr>
          <w:rFonts w:eastAsia="宋体"/>
          <w:lang w:val="en-US" w:eastAsia="zh-CN"/>
        </w:rPr>
        <w:t xml:space="preserve">, </w:t>
      </w:r>
      <w:r>
        <w:rPr>
          <w:rFonts w:eastAsia="宋体" w:hint="eastAsia"/>
          <w:lang w:val="en-US" w:eastAsia="zh-CN"/>
        </w:rPr>
        <w:t>Physical layer procedures for data</w:t>
      </w:r>
      <w:r>
        <w:rPr>
          <w:rFonts w:eastAsia="宋体"/>
          <w:lang w:val="en-US" w:eastAsia="zh-CN"/>
        </w:rPr>
        <w:t>, 20</w:t>
      </w:r>
      <w:r>
        <w:rPr>
          <w:rFonts w:eastAsia="宋体" w:hint="eastAsia"/>
          <w:lang w:val="en-US" w:eastAsia="zh-CN"/>
        </w:rPr>
        <w:t xml:space="preserve">20-04 </w:t>
      </w:r>
    </w:p>
    <w:p w:rsidR="00336F25" w:rsidRDefault="00336F25">
      <w:pPr>
        <w:widowControl w:val="0"/>
        <w:autoSpaceDE w:val="0"/>
        <w:autoSpaceDN w:val="0"/>
        <w:adjustRightInd w:val="0"/>
        <w:spacing w:before="60" w:after="60" w:line="240" w:lineRule="auto"/>
        <w:jc w:val="both"/>
        <w:rPr>
          <w:rFonts w:eastAsia="宋体"/>
          <w:lang w:val="en-US" w:eastAsia="zh-CN"/>
        </w:rPr>
      </w:pPr>
    </w:p>
    <w:sectPr w:rsidR="00336F25">
      <w:footerReference w:type="even" r:id="rId11"/>
      <w:footerReference w:type="default" r:id="rId1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87" w:rsidRDefault="00DE0387">
      <w:pPr>
        <w:spacing w:after="0" w:line="240" w:lineRule="auto"/>
      </w:pPr>
      <w:r>
        <w:separator/>
      </w:r>
    </w:p>
  </w:endnote>
  <w:endnote w:type="continuationSeparator" w:id="0">
    <w:p w:rsidR="00DE0387" w:rsidRDefault="00DE0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等线">
    <w:altName w:val="Arial Unicode MS"/>
    <w:charset w:val="86"/>
    <w:family w:val="auto"/>
    <w:pitch w:val="default"/>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25" w:rsidRDefault="003B3F7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336F25" w:rsidRDefault="00336F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25" w:rsidRDefault="003B3F75">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664762">
      <w:rPr>
        <w:rStyle w:val="PageNumber"/>
        <w:rFonts w:ascii="Times New Roman" w:hAnsi="Times New Roman"/>
        <w:b w:val="0"/>
        <w:i w:val="0"/>
        <w:noProof/>
      </w:rPr>
      <w:t>2</w:t>
    </w:r>
    <w:r>
      <w:rPr>
        <w:rFonts w:ascii="Times New Roman" w:hAnsi="Times New Roman"/>
        <w:b w:val="0"/>
        <w:i w:val="0"/>
      </w:rPr>
      <w:fldChar w:fldCharType="end"/>
    </w:r>
  </w:p>
  <w:p w:rsidR="00336F25" w:rsidRDefault="00336F2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87" w:rsidRDefault="00DE0387">
      <w:pPr>
        <w:spacing w:after="0" w:line="240" w:lineRule="auto"/>
      </w:pPr>
      <w:r>
        <w:separator/>
      </w:r>
    </w:p>
  </w:footnote>
  <w:footnote w:type="continuationSeparator" w:id="0">
    <w:p w:rsidR="00DE0387" w:rsidRDefault="00DE03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BA21DEC"/>
    <w:multiLevelType w:val="multilevel"/>
    <w:tmpl w:val="2BA21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8"/>
  </w:num>
  <w:num w:numId="4">
    <w:abstractNumId w:val="10"/>
  </w:num>
  <w:num w:numId="5">
    <w:abstractNumId w:val="3"/>
  </w:num>
  <w:num w:numId="6">
    <w:abstractNumId w:val="7"/>
  </w:num>
  <w:num w:numId="7">
    <w:abstractNumId w:val="5"/>
  </w:num>
  <w:num w:numId="8">
    <w:abstractNumId w:val="1"/>
  </w:num>
  <w:num w:numId="9">
    <w:abstractNumId w:val="9"/>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6F25"/>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3F75"/>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30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762"/>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38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EF719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A4514"/>
    <w:rsid w:val="0CED5790"/>
    <w:rsid w:val="0D02400E"/>
    <w:rsid w:val="0D0C6566"/>
    <w:rsid w:val="0D1536F1"/>
    <w:rsid w:val="0D1E5FB2"/>
    <w:rsid w:val="0D204BC7"/>
    <w:rsid w:val="0D232014"/>
    <w:rsid w:val="0D276A0D"/>
    <w:rsid w:val="0D2B3E5D"/>
    <w:rsid w:val="0D451DA4"/>
    <w:rsid w:val="0D4C56D2"/>
    <w:rsid w:val="0D727EA8"/>
    <w:rsid w:val="0D7946EA"/>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716578"/>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294528"/>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57474"/>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05615F"/>
    <w:rsid w:val="13105018"/>
    <w:rsid w:val="131C5CF6"/>
    <w:rsid w:val="13227EB1"/>
    <w:rsid w:val="13400045"/>
    <w:rsid w:val="136F49A1"/>
    <w:rsid w:val="13783516"/>
    <w:rsid w:val="137C2658"/>
    <w:rsid w:val="137E142A"/>
    <w:rsid w:val="13824BD3"/>
    <w:rsid w:val="138A039A"/>
    <w:rsid w:val="139532E4"/>
    <w:rsid w:val="139E0CE9"/>
    <w:rsid w:val="13A30FC3"/>
    <w:rsid w:val="13A31406"/>
    <w:rsid w:val="13A90461"/>
    <w:rsid w:val="13BF1D88"/>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0365A1"/>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AE70D6"/>
    <w:rsid w:val="17B85BBA"/>
    <w:rsid w:val="17CD6181"/>
    <w:rsid w:val="17DE72B7"/>
    <w:rsid w:val="17E20D1C"/>
    <w:rsid w:val="17F70F34"/>
    <w:rsid w:val="18321DF7"/>
    <w:rsid w:val="184173E8"/>
    <w:rsid w:val="18545A97"/>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73F10"/>
    <w:rsid w:val="1D5D6ACF"/>
    <w:rsid w:val="1D5E7A8C"/>
    <w:rsid w:val="1D6070B0"/>
    <w:rsid w:val="1D6222F8"/>
    <w:rsid w:val="1D805237"/>
    <w:rsid w:val="1D810454"/>
    <w:rsid w:val="1D930C98"/>
    <w:rsid w:val="1DA2040C"/>
    <w:rsid w:val="1DA533ED"/>
    <w:rsid w:val="1DA83214"/>
    <w:rsid w:val="1DB65020"/>
    <w:rsid w:val="1DC41BB0"/>
    <w:rsid w:val="1DC65AF6"/>
    <w:rsid w:val="1E042D27"/>
    <w:rsid w:val="1E0C16EA"/>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B0EA3"/>
    <w:rsid w:val="21FC15A7"/>
    <w:rsid w:val="22063857"/>
    <w:rsid w:val="221B34F2"/>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63F20"/>
    <w:rsid w:val="252F41B5"/>
    <w:rsid w:val="253E482D"/>
    <w:rsid w:val="25415276"/>
    <w:rsid w:val="25442C2C"/>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A2492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EC35B0"/>
    <w:rsid w:val="28F905BC"/>
    <w:rsid w:val="28FA5BE1"/>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D2154B"/>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71F23"/>
    <w:rsid w:val="2AA824F5"/>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92D37"/>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03A1E"/>
    <w:rsid w:val="34660FB4"/>
    <w:rsid w:val="346F196C"/>
    <w:rsid w:val="34921202"/>
    <w:rsid w:val="34A01296"/>
    <w:rsid w:val="34A72BC4"/>
    <w:rsid w:val="34AD636D"/>
    <w:rsid w:val="34D35AEF"/>
    <w:rsid w:val="34D37972"/>
    <w:rsid w:val="34D6123A"/>
    <w:rsid w:val="34F76022"/>
    <w:rsid w:val="35027278"/>
    <w:rsid w:val="35194A87"/>
    <w:rsid w:val="35200F8A"/>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385090"/>
    <w:rsid w:val="403D4075"/>
    <w:rsid w:val="40581609"/>
    <w:rsid w:val="4062552B"/>
    <w:rsid w:val="40762F0A"/>
    <w:rsid w:val="40765E8A"/>
    <w:rsid w:val="407E641B"/>
    <w:rsid w:val="40825976"/>
    <w:rsid w:val="4084632A"/>
    <w:rsid w:val="40BE000B"/>
    <w:rsid w:val="40D00C0D"/>
    <w:rsid w:val="40D14D78"/>
    <w:rsid w:val="40EC441D"/>
    <w:rsid w:val="40F044C9"/>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B77B4"/>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A614AA"/>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27782"/>
    <w:rsid w:val="4BA85532"/>
    <w:rsid w:val="4BB340E6"/>
    <w:rsid w:val="4BC004F6"/>
    <w:rsid w:val="4BCD4308"/>
    <w:rsid w:val="4BD732D2"/>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D00124"/>
    <w:rsid w:val="4CDF4F5F"/>
    <w:rsid w:val="4CE679D2"/>
    <w:rsid w:val="4CF73AC7"/>
    <w:rsid w:val="4CF850CA"/>
    <w:rsid w:val="4CFB4906"/>
    <w:rsid w:val="4D04433E"/>
    <w:rsid w:val="4D066A1E"/>
    <w:rsid w:val="4D111DEA"/>
    <w:rsid w:val="4D15653E"/>
    <w:rsid w:val="4D1A17B3"/>
    <w:rsid w:val="4D1C31C6"/>
    <w:rsid w:val="4D3044C7"/>
    <w:rsid w:val="4D361251"/>
    <w:rsid w:val="4D44774F"/>
    <w:rsid w:val="4D4B58A5"/>
    <w:rsid w:val="4D627203"/>
    <w:rsid w:val="4D66006E"/>
    <w:rsid w:val="4D6C3B9E"/>
    <w:rsid w:val="4D8674BE"/>
    <w:rsid w:val="4D8B066E"/>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7C181D"/>
    <w:rsid w:val="4E81432F"/>
    <w:rsid w:val="4E9373C0"/>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EA2E06"/>
    <w:rsid w:val="4FEF5594"/>
    <w:rsid w:val="4FF6565E"/>
    <w:rsid w:val="500A2552"/>
    <w:rsid w:val="50131C60"/>
    <w:rsid w:val="501723E6"/>
    <w:rsid w:val="501D6123"/>
    <w:rsid w:val="50234132"/>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C327D"/>
    <w:rsid w:val="512C5700"/>
    <w:rsid w:val="51421D4D"/>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93795"/>
    <w:rsid w:val="54E44BF0"/>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3253F"/>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8A094A"/>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A3BB7"/>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D07EF8"/>
    <w:rsid w:val="5DD15393"/>
    <w:rsid w:val="5DD67626"/>
    <w:rsid w:val="5DE93770"/>
    <w:rsid w:val="5DEF5FD6"/>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0FC79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11531"/>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DC4528"/>
    <w:rsid w:val="69EB5FCC"/>
    <w:rsid w:val="6A063C23"/>
    <w:rsid w:val="6A0B175E"/>
    <w:rsid w:val="6A0B1C3A"/>
    <w:rsid w:val="6A101F75"/>
    <w:rsid w:val="6A1874E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C5DF6"/>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35B84"/>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65B47"/>
    <w:rsid w:val="723D7D7D"/>
    <w:rsid w:val="724A5D81"/>
    <w:rsid w:val="72516EA0"/>
    <w:rsid w:val="72544005"/>
    <w:rsid w:val="725D01F5"/>
    <w:rsid w:val="7285513E"/>
    <w:rsid w:val="728576DC"/>
    <w:rsid w:val="72A41103"/>
    <w:rsid w:val="72C20714"/>
    <w:rsid w:val="72C96AFD"/>
    <w:rsid w:val="72C96D9C"/>
    <w:rsid w:val="72DF2D54"/>
    <w:rsid w:val="72E74987"/>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2B14B3"/>
    <w:rsid w:val="77361D8F"/>
    <w:rsid w:val="773F6B8B"/>
    <w:rsid w:val="77685CA5"/>
    <w:rsid w:val="777164C4"/>
    <w:rsid w:val="777F1F8A"/>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AF32198"/>
    <w:rsid w:val="7B0B6E35"/>
    <w:rsid w:val="7B17071C"/>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D1AFB"/>
    <w:rsid w:val="7BF521EB"/>
    <w:rsid w:val="7BF65A76"/>
    <w:rsid w:val="7C090308"/>
    <w:rsid w:val="7C1526D4"/>
    <w:rsid w:val="7C4E781C"/>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7B1FE1-F796-4AFC-97BC-B37ED3101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893</Words>
  <Characters>5094</Characters>
  <Application>Microsoft Office Word</Application>
  <DocSecurity>0</DocSecurity>
  <Lines>42</Lines>
  <Paragraphs>11</Paragraphs>
  <ScaleCrop>false</ScaleCrop>
  <Company>ZTE</Company>
  <LinksUpToDate>false</LinksUpToDate>
  <CharactersWithSpaces>5976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41</cp:revision>
  <cp:lastPrinted>2018-02-16T23:29:00Z</cp:lastPrinted>
  <dcterms:created xsi:type="dcterms:W3CDTF">2018-11-02T18:04:00Z</dcterms:created>
  <dcterms:modified xsi:type="dcterms:W3CDTF">2020-05-16T02:11:00Z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